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9C" w:rsidRDefault="00EA509C"/>
    <w:p w:rsidR="00EA509C" w:rsidRDefault="00EA509C"/>
    <w:p w:rsidR="003B0328" w:rsidRPr="003B0328" w:rsidRDefault="003B0328" w:rsidP="003B0328">
      <w:pPr>
        <w:jc w:val="center"/>
        <w:rPr>
          <w:rStyle w:val="fontstyle01"/>
          <w:rFonts w:ascii="Arial" w:hAnsi="Arial" w:cs="Arial"/>
          <w:b/>
          <w:sz w:val="28"/>
          <w:u w:val="single"/>
        </w:rPr>
      </w:pPr>
      <w:r w:rsidRPr="003B0328">
        <w:rPr>
          <w:rStyle w:val="fontstyle01"/>
          <w:rFonts w:ascii="Arial" w:hAnsi="Arial" w:cs="Arial"/>
          <w:b/>
          <w:sz w:val="28"/>
          <w:u w:val="single"/>
        </w:rPr>
        <w:t>Allgemeine Geschäftsbedingungen</w:t>
      </w:r>
    </w:p>
    <w:p w:rsidR="003B0328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  <w:b/>
        </w:rPr>
        <w:t>1. Allgemeines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Allen Lieferungen, Leistungen, Angeboten und Verträgen des Verkäufers liegen ausschließlich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diese Bestimmungen zugrunde. Diese werden mit Vertragsabschluss, als verbindlich anerkannt und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gelten auch wenn bei weiteren Geschäftsbeziehungen eine Bezugnahme nicht mehr ausdrücklich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erfolgen sollte.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Geschäftsbedingungen des Käufers oder Dritter finden keine Anwendung, auch wenn 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Verkäufer ihrer Geltung im Einzelfall nicht gesondert widerspricht. Selbst wenn der Verkäufer auf ein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Schreiben Bezug nimmt, dass Geschäftsbedingungen des Käufers oder eines Dritten enthält oder auf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solche verweist, liegt darin kein Einverständnis mit der Geltung jener</w:t>
      </w:r>
      <w:r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Geschäftsbedingungen.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Nebenabreden, Änderungen oder Ergänzungen des Vertrages sind nur wirksam, wenn sie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schriftlich bestätigt wurden.</w:t>
      </w:r>
    </w:p>
    <w:p w:rsidR="003B0328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  <w:b/>
        </w:rPr>
        <w:t>2. Vertragsschluss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Zu einem Vertragsabschluss mit uns kommt es erst durch die ausdrückliche Annahme 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Bestellung durch uns entweder per schriftlicher Bestätigung oder durch Bestätigung per E-Mail.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Kleine Abweichungen und technische Änderungen gegenüber unseren Abbildungen oder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Beschreibungen sind möglich und beeinflussen das Zustandekommen des Vertragsverhältnisses nicht.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Offensichtliche Irrtümer, Schreib-, Druck- und Rechenfehler sind für uns nicht verbindlich.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(4) Soweit unsere Mitarbeiter mündliche Nebenabreden treffen oder Zusicherungen geben, die über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den schriftlichen Vertrag hinausgehen, werden diese nur bei schriftlicher Bestätigung durch uns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Vertragsbestandteil.</w:t>
      </w:r>
    </w:p>
    <w:p w:rsidR="003B0328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  <w:b/>
        </w:rPr>
        <w:t>3. Leistungsbedingungen</w:t>
      </w:r>
      <w:r w:rsidRPr="003B0328">
        <w:rPr>
          <w:rFonts w:cs="Arial"/>
          <w:b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Die von dem Verkäufer gegenüber dem Käufer zu erbringenden Leistungen werden in 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Auftragserteilung festgelegt.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Angaben über die Lieferfrist sind unverbindlich, soweit nicht ausnahmsweise der Liefertermin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verbindlich zugesagt wurde.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Teilleistungen und Teillieferungen sind in zumutbaren Umfang zulässig. Nicht vollständig auf Lager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befindliche Artikel können von uns in Teillieferungen ausgeführt werden. Wir sind zu Teillieferungen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jedoch nicht verpflichtet.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(4) Eine Lieferfrist verlängert sich- auch innerhalb eines Verzuges - angemessen bei Eintritt höherer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Gewalt und allen unvorhergesehenen, nach Vertragsabschluss eingetretenen Hindernissen, die wir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nicht zu vertreten haben (insbesondere auch Betriebsstörungen, Streiks, Aussperrung oder Störung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der Verkehrswege), soweit solche Hindernisse nachweislich auf die vorgesehene Ausführung bzw.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Lieferung von erheblichem Einfluss sind. Dies gilt auch dann, wenn diese Umstände bei unserem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Vorlieferanten, Zulieferanten oder Subunternehmern eintreten. Beginn und Ende derartiger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Hindernisse teilen wir dem Käufer schnellstmöglich mit. Der Käufer kann von uns die Erklärung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verlangen, ob wir zurücktreten oder innerhalb angemessener Frist liefern wollen. Erklären wir uns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nicht unverzüglich, kann der Käufer zurücktreten.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(5) Wir haften hinsichtlich rechtzeitiger Lieferung nur für eigenes Verschulden und das unserer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Erfüllungsgehilfen.</w:t>
      </w:r>
    </w:p>
    <w:p w:rsidR="003B0328" w:rsidRDefault="003B0328" w:rsidP="003B0328">
      <w:pPr>
        <w:rPr>
          <w:rFonts w:cs="Arial"/>
          <w:color w:val="000000"/>
          <w:sz w:val="22"/>
          <w:szCs w:val="22"/>
        </w:rPr>
      </w:pPr>
    </w:p>
    <w:p w:rsidR="003B0328" w:rsidRDefault="003B0328" w:rsidP="003B0328">
      <w:pPr>
        <w:rPr>
          <w:rFonts w:cs="Arial"/>
          <w:color w:val="000000"/>
          <w:sz w:val="22"/>
          <w:szCs w:val="22"/>
        </w:rPr>
      </w:pPr>
    </w:p>
    <w:p w:rsidR="003B0328" w:rsidRDefault="003B0328" w:rsidP="003B0328">
      <w:pPr>
        <w:rPr>
          <w:rFonts w:cs="Arial"/>
          <w:color w:val="000000"/>
          <w:sz w:val="22"/>
          <w:szCs w:val="22"/>
        </w:rPr>
      </w:pPr>
    </w:p>
    <w:p w:rsidR="003B0328" w:rsidRDefault="003B0328" w:rsidP="003B0328">
      <w:pPr>
        <w:rPr>
          <w:rStyle w:val="fontstyle01"/>
          <w:rFonts w:ascii="Arial" w:hAnsi="Arial" w:cs="Arial"/>
          <w:b/>
        </w:rPr>
      </w:pPr>
      <w:r w:rsidRPr="003B0328">
        <w:rPr>
          <w:rFonts w:cs="Arial"/>
          <w:color w:val="000000"/>
          <w:sz w:val="22"/>
          <w:szCs w:val="22"/>
        </w:rPr>
        <w:br/>
      </w:r>
    </w:p>
    <w:p w:rsidR="003B0328" w:rsidRDefault="003B0328" w:rsidP="003B0328">
      <w:pPr>
        <w:rPr>
          <w:rStyle w:val="fontstyle01"/>
          <w:rFonts w:ascii="Arial" w:hAnsi="Arial" w:cs="Arial"/>
          <w:b/>
        </w:rPr>
      </w:pPr>
    </w:p>
    <w:p w:rsidR="003B0328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Style w:val="fontstyle01"/>
          <w:rFonts w:ascii="Arial" w:hAnsi="Arial" w:cs="Arial"/>
          <w:b/>
        </w:rPr>
        <w:t>4. Lieferbedingungen und Gefahrtragung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Die Auslieferung der Ware erfolgt ab Werk. Mit der Übergabe der Ware an den Transportführer,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der vom Käufer (Unternehmer) oder von uns im Namen des Käufers (Unternehmer) beauftragt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wurde, geht die Gefahr auf den Käufer über. Dies gilt nicht bei Transporten mit unseren Fahrzeugen.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Die Versandkosten sind ohne anderslautende Vereinbarung mit uns vom Käufer zu tragen.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Der Versand erfolgt auf Rechnung des Käufers und auf seine Gefahr.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(4) Wird der Versand auf Wunsch oder aus Verschulden des Käufers verzögert, so lagert die Ware auf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Kosten des Käufers. Hierbei haften wir für Beschädigung der Ware nur im Falle von Vorsatz und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grober</w:t>
      </w:r>
      <w:r>
        <w:rPr>
          <w:rFonts w:cs="Arial"/>
        </w:rPr>
        <w:t xml:space="preserve"> </w:t>
      </w:r>
      <w:r w:rsidRPr="003B0328">
        <w:rPr>
          <w:rStyle w:val="fontstyle01"/>
          <w:rFonts w:ascii="Arial" w:hAnsi="Arial" w:cs="Arial"/>
        </w:rPr>
        <w:t>Fahrlässigkeit. In diesem Fall steht die Anzeige der Versandbereitschaft dem Versand gleich.</w:t>
      </w:r>
    </w:p>
    <w:p w:rsidR="003B0328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  <w:b/>
        </w:rPr>
        <w:t>5. Aufrechnung, Zurückbehaltung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Ein Recht zur Aufrechnung steht dem Käufer nur zu, wenn seine Gegenansprüche rechtskräftig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festgestellt oder unbestritten anerkannt sind. Außerdem ist er zur Ausübung eines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Zurückbehaltungsrechts nur insoweit befugt, als sein Gegenanspruch auf dem gleichen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Vertragsverhältnis beruht.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  <w:b/>
        </w:rPr>
        <w:t>6. Eigentumsvorbehalt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Die gelieferte Ware bleibt bis zur vollständigen Bezahlung des Kaufpreises unser Eigentum.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Bei Ware, die der Käufer im Rahmen einer laufenden Geschäftsbeziehung von uns bezieht,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behalten wir uns das Eigentum vor, bis unsere sämtlichen Forderungen aus der Geschäftsverbindung,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einschließlich der künftig entstehenden Forderungen- auch aus gleichzeitig oder später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abgeschlossenen Verträgen beglichen sind. Dies gilt auch dann, wenn einzelne oder sämtliche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Forderungen von uns in eine laufende Rechnung übernommen wurden und der Saldo gezogen und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anerkannt ist. Wird in Zusammenhang mit der Bezahlung des Kaufpreises durch den Käufer eine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wechselmäßige Haftung durch uns begründet, so erlischt der Eigentumsvorbehalt nicht vor Einlösung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des Wechsels durch den Käufer als Bezogenen. Die Ware sowie die nach dieser Klausel an ihre Stelle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tretende, vom Eigentumsvorbehalt erfasste Ware wird nachfolgend Vorbehaltsware genannt.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Der Käufer verwahrt die Vorbehaltsware unentgeltlich für uns.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(4) Der Käufer ist berechtigt, die Vorbehaltsware bis zum Eintritt des Verwertungsfalls (Abs.9) im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ordnungsgemäßen Geschäftsverkehr zu verarbeiten und zu veräußern. Verpfändungen und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Sicherungsübereignungen sind unzulässig.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(5) Wird die Vorbehaltsware vom Käufer verarbeitet, so wird vereinbart, dass die Verarbeitung im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Namen und für Rechnung des Verkäufers als Hersteller erfolgt und der Verkäufer unmittelbar das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Eigentum oder- wenn die Verarbeitung aus Stoffen mehrerer Eigentümer erfolgt oder der Wert 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bearbeiteten Sache höher ist als der Wert der Vorbehaltsware- das Miteigentum</w:t>
      </w:r>
      <w:r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(</w:t>
      </w:r>
      <w:proofErr w:type="spellStart"/>
      <w:r w:rsidRPr="003B0328">
        <w:rPr>
          <w:rStyle w:val="fontstyle01"/>
          <w:rFonts w:ascii="Arial" w:hAnsi="Arial" w:cs="Arial"/>
        </w:rPr>
        <w:t>Bruchteilseigentum</w:t>
      </w:r>
      <w:proofErr w:type="spellEnd"/>
      <w:r w:rsidRPr="003B0328">
        <w:rPr>
          <w:rStyle w:val="fontstyle01"/>
          <w:rFonts w:ascii="Arial" w:hAnsi="Arial" w:cs="Arial"/>
        </w:rPr>
        <w:t>) an der neu geschaffenen Sache im Verhältnis des Wertes der</w:t>
      </w:r>
      <w:r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Vorbehaltsware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zum Wert der neu geschaffenen Sache erwirbt. Für den Fall, dass kein solcher Eigentumserwerb beim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Verkäufer eintreten sollte, überträgt der Käufer bereits jetzt sein künftiges Eigentum oder im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o.g. Verhältnis- Miteigentum an der neu geschaffenen Sache zur Sicherheit an den Verkäufer. Wird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die Vorbehaltsware mit anderen Sachen zu einer einheitlichen Sache verbunden oder untrennbar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vermischt und ist eine der anderen Sachen als Hauptsache anzusehen, so überträgt der Käufer,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soweit die Hauptsache ihm gehört, dem Verkäufer anteilig das Miteigentum an der einheitlichen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Sache in dem in Satz 1 genannten Verhältnis.</w:t>
      </w:r>
      <w:r w:rsidRPr="003B0328">
        <w:rPr>
          <w:rFonts w:cs="Arial"/>
          <w:color w:val="000000"/>
          <w:sz w:val="22"/>
          <w:szCs w:val="22"/>
        </w:rPr>
        <w:br/>
      </w:r>
    </w:p>
    <w:p w:rsidR="00C5189D" w:rsidRDefault="00C5189D" w:rsidP="003B0328">
      <w:pPr>
        <w:rPr>
          <w:rStyle w:val="fontstyle01"/>
          <w:rFonts w:ascii="Arial" w:hAnsi="Arial" w:cs="Arial"/>
        </w:rPr>
      </w:pPr>
    </w:p>
    <w:p w:rsidR="00C5189D" w:rsidRDefault="00C5189D" w:rsidP="003B0328">
      <w:pPr>
        <w:rPr>
          <w:rStyle w:val="fontstyle01"/>
          <w:rFonts w:ascii="Arial" w:hAnsi="Arial" w:cs="Arial"/>
        </w:rPr>
      </w:pPr>
    </w:p>
    <w:p w:rsidR="00C5189D" w:rsidRDefault="00C5189D" w:rsidP="003B0328">
      <w:pPr>
        <w:rPr>
          <w:rStyle w:val="fontstyle01"/>
          <w:rFonts w:ascii="Arial" w:hAnsi="Arial" w:cs="Arial"/>
        </w:rPr>
      </w:pPr>
    </w:p>
    <w:p w:rsidR="00C5189D" w:rsidRDefault="00C5189D" w:rsidP="003B0328">
      <w:pPr>
        <w:rPr>
          <w:rStyle w:val="fontstyle01"/>
          <w:rFonts w:ascii="Arial" w:hAnsi="Arial" w:cs="Arial"/>
        </w:rPr>
      </w:pPr>
    </w:p>
    <w:p w:rsidR="00C5189D" w:rsidRDefault="00C5189D" w:rsidP="003B0328">
      <w:pPr>
        <w:rPr>
          <w:rStyle w:val="fontstyle01"/>
          <w:rFonts w:ascii="Arial" w:hAnsi="Arial" w:cs="Arial"/>
        </w:rPr>
      </w:pP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Style w:val="fontstyle01"/>
          <w:rFonts w:ascii="Arial" w:hAnsi="Arial" w:cs="Arial"/>
        </w:rPr>
        <w:t>(6) Im Fall der Weiterveräußerung der Vorbehaltsware tritt der Käufer bereits jetzt sicherungshalber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die hieraus entstehende Forderung gegen den Erwerber- bei Miteigentum des Verkäufers an der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Vorbehaltsware anteilig entsprechend dem Miteigentumsanteil- an den Verkäufer ab. Gleiches gilt für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sonstige Forderungen, die an die Stelle der Vorbehaltsware treten oder sonst hinsichtlich der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 xml:space="preserve">Vorbehaltsware entstehen, wie z.B. Versicherungsansprüche oder 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Style w:val="fontstyle01"/>
          <w:rFonts w:ascii="Arial" w:hAnsi="Arial" w:cs="Arial"/>
        </w:rPr>
        <w:t>Ansprüche aus unerlaubter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Handlung bei Verlust oder Zerstörung. Der Verkäufer ermächtigt den Käufer widerruflich, die an den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Verkäufer abgetretenen Forderungen in eigenem Namen für Rechnung des Verkäufers einzuziehen.</w:t>
      </w:r>
      <w:r w:rsidR="00C5189D">
        <w:rPr>
          <w:rFonts w:cs="Arial"/>
          <w:color w:val="000000"/>
          <w:sz w:val="22"/>
          <w:szCs w:val="22"/>
        </w:rPr>
        <w:t xml:space="preserve"> </w:t>
      </w:r>
      <w:r w:rsidRPr="003B0328">
        <w:rPr>
          <w:rStyle w:val="fontstyle01"/>
          <w:rFonts w:ascii="Arial" w:hAnsi="Arial" w:cs="Arial"/>
        </w:rPr>
        <w:t>Der Verkäufer darf diese Einzugsermächtigung nur im Verwertungsfall widerrufen.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(7) Greifen Dritte auf die Vorbehaltsware zu, insbesondere durch Pfändung, wird der Käufer sie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unverzüglich auf das Eigentum des Verkäufers hinweisen und den Verkäufer hierüber informieren, um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dem Verkäufer die Durchsetzung seiner Eigentumsrechte zu ermöglichen. Sofern der Dritte nicht in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der Lage ist, dem Verkäufer die in diesem Zusammenhang entstehenden gerichtlichen oder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außergerichtlichen Kosten zu erstatten, haftet hierfür der Käufer dem Verkäufer.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(8) Der Verkäufer wird auf Verlangen des Käufers die ihm zustehenden Sicherheiten nach seiner Wahl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insoweit freigegeben, als ihr realisierbarer Wert die zu sichernden Forderungen um 10 % übersteigt.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Style w:val="fontstyle01"/>
          <w:rFonts w:ascii="Arial" w:hAnsi="Arial" w:cs="Arial"/>
        </w:rPr>
        <w:t>(9) Tritt der Verkäufer bei vertragswidrigen Verhalten des Käufers- insbesondere Zahlungsverzug- vom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 xml:space="preserve">Vertrag zurück (Verwertungsfall), ist der Verkäufer berechtigt, die Vorbehaltsware </w:t>
      </w:r>
      <w:proofErr w:type="spellStart"/>
      <w:r w:rsidRPr="003B0328">
        <w:rPr>
          <w:rStyle w:val="fontstyle01"/>
          <w:rFonts w:ascii="Arial" w:hAnsi="Arial" w:cs="Arial"/>
        </w:rPr>
        <w:t>herauszuverlangen</w:t>
      </w:r>
      <w:proofErr w:type="spellEnd"/>
      <w:r w:rsidRPr="003B0328">
        <w:rPr>
          <w:rStyle w:val="fontstyle01"/>
          <w:rFonts w:ascii="Arial" w:hAnsi="Arial" w:cs="Arial"/>
        </w:rPr>
        <w:t>.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</w:rPr>
        <w:br/>
      </w:r>
      <w:r w:rsidRPr="00C5189D">
        <w:rPr>
          <w:rStyle w:val="fontstyle01"/>
          <w:rFonts w:ascii="Arial" w:hAnsi="Arial" w:cs="Arial"/>
          <w:b/>
        </w:rPr>
        <w:t>7. Mängel, Gewährleistung und Haftung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Wir übernehmen keine Gewähr für Schäden, die zurückgehen auf ungeeignete oder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unsachgemäße Verwendung, fehlerhafte, nicht von uns vorgenommene Montage, Inbetriebsetzung,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Änderung oder Reparatur, fehlerhafte oder nachlässige Behandlung oder natürliche Abnutzung.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Sachmängelansprüche verjähren in 12 Monaten. Dies gilt nicht, soweit wir aufgrund sonstiger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gesetzlicher Vorschriften zwingend haften.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(3) Für Schadensersatzansprüche gilt Abschnitt 8.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C5189D">
        <w:rPr>
          <w:rStyle w:val="fontstyle01"/>
          <w:rFonts w:ascii="Arial" w:hAnsi="Arial" w:cs="Arial"/>
          <w:b/>
        </w:rPr>
        <w:t>8. Allgemeine Haftungsbegrenzung und Schadensersatzansprüche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Schadens- und Aufwendungsersatzansprüche des Käufers (nachfolgend Schadensersatzansprüche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genannt), gleich aus welchem Rechtsgrund, insbesondere wegen Verletzung von Pflichten aus einem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Schuldverhältnis und aus unerlaubter Handlung, sind ausgeschlossen. Dies gilt nicht in Fällen der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Übernahme einer Garantie oder eines Beschaffungsrisikos. Dies gilt ferner nicht, soweit wir zwingend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haften, z.B. nach dem Produkthaftungsgesetz, in Fällen des groben Verschuldens, des Vorsatzes,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wegen der Verletzung des Lebens, des Körpers oder der Gesundheit, sowie der Verletzung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wesentlicher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Vertragspflichten. Der Schadensersatzanspruch für die Verletzung wesentlicher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Vertragspflichten ist jedoch auf den vertragstypischen, vorhersehbaren Schaden begrenzt, soweit uns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kein grobes Verschulden oder Vorsatz vorzuwerfen ist oder wegen der Verletzung des Lebens, des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Körpers oder der Gesundheit gehaftet wird. Eine Änderung der Beweislast zum Nachteil des Käufers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ist damit nicht verbunden.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Diese Regelung gilt für den Käufer entsprechend.</w:t>
      </w: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C5189D" w:rsidP="003B0328">
      <w:pPr>
        <w:rPr>
          <w:rFonts w:cs="Arial"/>
          <w:color w:val="000000"/>
          <w:sz w:val="22"/>
          <w:szCs w:val="22"/>
        </w:rPr>
      </w:pP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lastRenderedPageBreak/>
        <w:br/>
      </w:r>
      <w:r w:rsidRPr="00C5189D">
        <w:rPr>
          <w:rStyle w:val="fontstyle01"/>
          <w:rFonts w:ascii="Arial" w:hAnsi="Arial" w:cs="Arial"/>
          <w:b/>
        </w:rPr>
        <w:t>9. Rücktritt wegen unterlassener Mitwirkungshandlung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Sofern Sie eine vertraglich geschuldete Mitwirkungshandlung nach Vertragsabschluss trotz vorheriger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schriftlicher Aufforderung und Fristsetzung unsererseits und Ankündigung im Falle der unterlassenen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Mitwirkung vom Vertrag zurückzutreten, zurechenbar innerhalb der gesetzten Frist nicht vornehmen,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sind wir berechtigt, vom Vertrag zurückzutreten. In diesem Falle sind wir berechtigt für den uns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entgangenen Gewinn und entstandenen Aufwand als pauschalen Schadens- und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Aufwandsentschädigungsbetrag einen Betrag in Höhe von 10% des Verkaufspreises der bestellten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Ware Ihnen zu berechnen. Sie haben das Recht nachzuweisen, dass uns kein oder ein geringerer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Schaden entstanden ist.</w:t>
      </w:r>
    </w:p>
    <w:p w:rsidR="00C5189D" w:rsidRDefault="003B0328" w:rsidP="003B0328">
      <w:pPr>
        <w:rPr>
          <w:rStyle w:val="fontstyle01"/>
          <w:rFonts w:ascii="Arial" w:hAnsi="Arial" w:cs="Arial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C5189D">
        <w:rPr>
          <w:rStyle w:val="fontstyle01"/>
          <w:rFonts w:ascii="Arial" w:hAnsi="Arial" w:cs="Arial"/>
          <w:b/>
        </w:rPr>
        <w:t>10. Erfüllungsort, Gerichtsstand, anzuwendendes Recht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(1) Erfüllungsort und ausschließlicher Gerichtsstand für Lieferungen und Zahlungen (einschließlich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Scheck und Wechselklagen) sowie sämtlicher sich ergebender Streitigkeiten ist, soweit der Käufer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Kaufmann, juristische Person des öffentlichen Rechts oder öffentliches Sondervermögen ist, oder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seinen Wohnsitz außerhalb der Bundesrepublik Deutschland hat, Nordhorn. Wir sind jedoch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berechtigt, den Käufer an seinem Gerichtsstand zu verklagen.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(2) Die Vertragsbeziehungen regeln sich ausschließlich nach dem in der Bundesrepublik Deutschland</w:t>
      </w:r>
      <w:r w:rsidR="00C5189D">
        <w:rPr>
          <w:rStyle w:val="fontstyle01"/>
          <w:rFonts w:ascii="Arial" w:hAnsi="Arial" w:cs="Arial"/>
        </w:rPr>
        <w:t xml:space="preserve"> </w:t>
      </w:r>
      <w:r w:rsidRPr="003B0328">
        <w:rPr>
          <w:rStyle w:val="fontstyle01"/>
          <w:rFonts w:ascii="Arial" w:hAnsi="Arial" w:cs="Arial"/>
        </w:rPr>
        <w:t>Geltenden Recht unter Ausschluss des UN-Kaufrechts.</w:t>
      </w:r>
    </w:p>
    <w:p w:rsidR="00EA509C" w:rsidRPr="00C5189D" w:rsidRDefault="003B0328" w:rsidP="003B0328">
      <w:pPr>
        <w:rPr>
          <w:rFonts w:cs="Arial"/>
          <w:color w:val="000000"/>
          <w:sz w:val="22"/>
          <w:szCs w:val="22"/>
        </w:rPr>
      </w:pPr>
      <w:r w:rsidRPr="003B0328">
        <w:rPr>
          <w:rFonts w:cs="Arial"/>
          <w:color w:val="000000"/>
          <w:sz w:val="22"/>
          <w:szCs w:val="22"/>
        </w:rPr>
        <w:br/>
      </w:r>
      <w:r w:rsidRPr="00C5189D">
        <w:rPr>
          <w:rStyle w:val="fontstyle01"/>
          <w:rFonts w:ascii="Arial" w:hAnsi="Arial" w:cs="Arial"/>
          <w:b/>
        </w:rPr>
        <w:t>11. Salvatorische Klausel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Sollten einzelne Bestimmungen des Vertrages mit dem Käufer einschließlich dieser Allgemeinen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Geschäftsbedingungen ganz oder teilweise unwirksam sein oder werden, so wird hierdurch die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Gültigkeit der übrigen Bestimmungen nicht berührt. Die ganze oder teilweise unwirksame Regelung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soll durch eine Regelung ersetzt werden, deren wirtschaftlicher Erfolg dem der unwirksamen</w:t>
      </w:r>
      <w:r w:rsidRPr="003B0328">
        <w:rPr>
          <w:rFonts w:cs="Arial"/>
          <w:color w:val="000000"/>
          <w:sz w:val="22"/>
          <w:szCs w:val="22"/>
        </w:rPr>
        <w:br/>
      </w:r>
      <w:r w:rsidRPr="003B0328">
        <w:rPr>
          <w:rStyle w:val="fontstyle01"/>
          <w:rFonts w:ascii="Arial" w:hAnsi="Arial" w:cs="Arial"/>
        </w:rPr>
        <w:t>möglichst nahekommt.</w:t>
      </w:r>
    </w:p>
    <w:p w:rsidR="00EA509C" w:rsidRPr="003B0328" w:rsidRDefault="00EA509C">
      <w:pPr>
        <w:rPr>
          <w:rFonts w:cs="Arial"/>
        </w:rPr>
      </w:pPr>
      <w:bookmarkStart w:id="0" w:name="_GoBack"/>
      <w:bookmarkEnd w:id="0"/>
    </w:p>
    <w:sectPr w:rsidR="00EA509C" w:rsidRPr="003B0328" w:rsidSect="003B0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28" w:rsidRDefault="003B0328">
      <w:r>
        <w:separator/>
      </w:r>
    </w:p>
  </w:endnote>
  <w:endnote w:type="continuationSeparator" w:id="0">
    <w:p w:rsidR="003B0328" w:rsidRDefault="003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64" w:rsidRDefault="009071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5" w:type="dxa"/>
      <w:tblInd w:w="-7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4"/>
      <w:gridCol w:w="1559"/>
      <w:gridCol w:w="2552"/>
      <w:gridCol w:w="2551"/>
      <w:gridCol w:w="2949"/>
    </w:tblGrid>
    <w:tr w:rsidR="00EA509C" w:rsidTr="00907164">
      <w:trPr>
        <w:trHeight w:val="716"/>
      </w:trPr>
      <w:tc>
        <w:tcPr>
          <w:tcW w:w="1564" w:type="dxa"/>
        </w:tcPr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ANGE-Metall GmbH</w:t>
          </w:r>
        </w:p>
        <w:p w:rsidR="00EA509C" w:rsidRPr="00C753AC" w:rsidRDefault="004120F5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 xml:space="preserve">Siemensstraße </w:t>
          </w:r>
          <w:r w:rsidR="00EA509C" w:rsidRPr="00C753AC">
            <w:rPr>
              <w:color w:val="040A72"/>
              <w:sz w:val="14"/>
            </w:rPr>
            <w:t>3</w:t>
          </w:r>
        </w:p>
        <w:p w:rsidR="00EA509C" w:rsidRDefault="00EA509C">
          <w:pPr>
            <w:rPr>
              <w:color w:val="0000FF"/>
              <w:sz w:val="14"/>
            </w:rPr>
          </w:pPr>
          <w:r w:rsidRPr="00C753AC">
            <w:rPr>
              <w:color w:val="040A72"/>
              <w:sz w:val="14"/>
            </w:rPr>
            <w:t xml:space="preserve">49846 </w:t>
          </w:r>
          <w:proofErr w:type="spellStart"/>
          <w:r w:rsidRPr="00C753AC">
            <w:rPr>
              <w:color w:val="040A72"/>
              <w:sz w:val="14"/>
            </w:rPr>
            <w:t>Hoogstede</w:t>
          </w:r>
          <w:proofErr w:type="spellEnd"/>
        </w:p>
      </w:tc>
      <w:tc>
        <w:tcPr>
          <w:tcW w:w="1559" w:type="dxa"/>
        </w:tcPr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Tel.: 05944-990225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Fax: 05944-990226</w:t>
          </w:r>
          <w:bookmarkStart w:id="1" w:name="_Hlt178667512"/>
          <w:bookmarkStart w:id="2" w:name="_Hlt178603643"/>
        </w:p>
        <w:p w:rsidR="00EA509C" w:rsidRPr="00C753AC" w:rsidRDefault="00C5189D">
          <w:pPr>
            <w:rPr>
              <w:color w:val="040A72"/>
              <w:sz w:val="14"/>
            </w:rPr>
          </w:pPr>
          <w:hyperlink r:id="rId1" w:history="1">
            <w:r w:rsidR="00EA509C" w:rsidRPr="00C753AC">
              <w:rPr>
                <w:color w:val="040A72"/>
                <w:sz w:val="14"/>
              </w:rPr>
              <w:t>An</w:t>
            </w:r>
            <w:bookmarkStart w:id="3" w:name="_Hlt178604455"/>
            <w:r w:rsidR="00EA509C" w:rsidRPr="00C753AC">
              <w:rPr>
                <w:color w:val="040A72"/>
                <w:sz w:val="14"/>
              </w:rPr>
              <w:t>g</w:t>
            </w:r>
            <w:bookmarkStart w:id="4" w:name="_Hlt178604474"/>
            <w:bookmarkEnd w:id="3"/>
            <w:r w:rsidR="00EA509C" w:rsidRPr="00C753AC">
              <w:rPr>
                <w:color w:val="040A72"/>
                <w:sz w:val="14"/>
              </w:rPr>
              <w:t>e</w:t>
            </w:r>
            <w:bookmarkEnd w:id="4"/>
            <w:r w:rsidR="00EA509C" w:rsidRPr="00C753AC">
              <w:rPr>
                <w:color w:val="040A72"/>
                <w:sz w:val="14"/>
              </w:rPr>
              <w:t>-Metall.de</w:t>
            </w:r>
          </w:hyperlink>
          <w:bookmarkEnd w:id="1"/>
          <w:r w:rsidR="00EA509C" w:rsidRPr="00C753AC">
            <w:rPr>
              <w:color w:val="040A72"/>
              <w:sz w:val="14"/>
            </w:rPr>
            <w:t xml:space="preserve"> </w:t>
          </w:r>
        </w:p>
        <w:p w:rsidR="00EA509C" w:rsidRDefault="00EA509C">
          <w:pPr>
            <w:rPr>
              <w:color w:val="0000FF"/>
              <w:sz w:val="14"/>
            </w:rPr>
          </w:pPr>
          <w:r w:rsidRPr="00C753AC">
            <w:rPr>
              <w:color w:val="040A72"/>
              <w:sz w:val="14"/>
            </w:rPr>
            <w:t>info@Ange-Metall.de</w:t>
          </w:r>
        </w:p>
      </w:tc>
      <w:bookmarkEnd w:id="2"/>
      <w:tc>
        <w:tcPr>
          <w:tcW w:w="2552" w:type="dxa"/>
        </w:tcPr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Volksbank Niedergrafschaft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(BLZ 280 699 26) Kto. 120 4676 000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IBAN: DE60 2806 9926 1204 6760 00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BIC: GENODEF1HOO</w:t>
          </w:r>
        </w:p>
        <w:p w:rsidR="00EA509C" w:rsidRPr="00C753AC" w:rsidRDefault="00EA509C">
          <w:pPr>
            <w:rPr>
              <w:color w:val="040A72"/>
              <w:sz w:val="14"/>
            </w:rPr>
          </w:pPr>
        </w:p>
      </w:tc>
      <w:tc>
        <w:tcPr>
          <w:tcW w:w="2551" w:type="dxa"/>
        </w:tcPr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Kreissparkasse Nordhorn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(BLZ 267500 01) Kto. 3200 2099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IBAN: DE81 2675 0001 00 3200 2099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BIC: NOLADE21NOH</w:t>
          </w:r>
        </w:p>
      </w:tc>
      <w:tc>
        <w:tcPr>
          <w:tcW w:w="2949" w:type="dxa"/>
        </w:tcPr>
        <w:p w:rsidR="00907164" w:rsidRDefault="00907164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Amtsgericht Osnabrück HRB 130593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proofErr w:type="spellStart"/>
          <w:r w:rsidRPr="00C753AC">
            <w:rPr>
              <w:color w:val="040A72"/>
              <w:sz w:val="14"/>
            </w:rPr>
            <w:t>USt</w:t>
          </w:r>
          <w:proofErr w:type="spellEnd"/>
          <w:r w:rsidRPr="00C753AC">
            <w:rPr>
              <w:color w:val="040A72"/>
              <w:sz w:val="14"/>
            </w:rPr>
            <w:t>.-</w:t>
          </w:r>
          <w:proofErr w:type="spellStart"/>
          <w:r w:rsidRPr="00C753AC">
            <w:rPr>
              <w:color w:val="040A72"/>
              <w:sz w:val="14"/>
            </w:rPr>
            <w:t>Id.Nr</w:t>
          </w:r>
          <w:proofErr w:type="spellEnd"/>
          <w:r w:rsidRPr="00C753AC">
            <w:rPr>
              <w:color w:val="040A72"/>
              <w:sz w:val="14"/>
            </w:rPr>
            <w:t xml:space="preserve">.: </w:t>
          </w:r>
          <w:r w:rsidR="00991411" w:rsidRPr="00C753AC">
            <w:rPr>
              <w:color w:val="040A72"/>
              <w:sz w:val="14"/>
            </w:rPr>
            <w:t>DE 157 802 117</w:t>
          </w:r>
        </w:p>
        <w:p w:rsidR="00EA509C" w:rsidRPr="00C753AC" w:rsidRDefault="00EA509C">
          <w:pPr>
            <w:rPr>
              <w:color w:val="040A72"/>
              <w:sz w:val="14"/>
            </w:rPr>
          </w:pPr>
          <w:r w:rsidRPr="00C753AC">
            <w:rPr>
              <w:color w:val="040A72"/>
              <w:sz w:val="14"/>
            </w:rPr>
            <w:t>Steuer-Nr.: 55/209/026</w:t>
          </w:r>
          <w:r w:rsidR="00C753AC" w:rsidRPr="00C753AC">
            <w:rPr>
              <w:color w:val="040A72"/>
              <w:sz w:val="14"/>
            </w:rPr>
            <w:t>03</w:t>
          </w:r>
        </w:p>
        <w:p w:rsidR="00EA509C" w:rsidRPr="00907164" w:rsidRDefault="00EA509C">
          <w:pPr>
            <w:rPr>
              <w:color w:val="040A72"/>
              <w:sz w:val="10"/>
            </w:rPr>
          </w:pPr>
          <w:r w:rsidRPr="00907164">
            <w:rPr>
              <w:color w:val="040A72"/>
              <w:sz w:val="10"/>
            </w:rPr>
            <w:t>Geschäftsführer: G</w:t>
          </w:r>
          <w:r w:rsidR="00C753AC" w:rsidRPr="00907164">
            <w:rPr>
              <w:color w:val="040A72"/>
              <w:sz w:val="10"/>
            </w:rPr>
            <w:t xml:space="preserve">erhard, Marcel u. </w:t>
          </w:r>
          <w:proofErr w:type="spellStart"/>
          <w:r w:rsidR="00C753AC" w:rsidRPr="00907164">
            <w:rPr>
              <w:color w:val="040A72"/>
              <w:sz w:val="10"/>
            </w:rPr>
            <w:t>Nico</w:t>
          </w:r>
          <w:r w:rsidRPr="00907164">
            <w:rPr>
              <w:color w:val="040A72"/>
              <w:sz w:val="10"/>
            </w:rPr>
            <w:t>.Wolbert</w:t>
          </w:r>
          <w:proofErr w:type="spellEnd"/>
          <w:r w:rsidRPr="00907164">
            <w:rPr>
              <w:color w:val="040A72"/>
              <w:sz w:val="10"/>
            </w:rPr>
            <w:t xml:space="preserve"> </w:t>
          </w:r>
        </w:p>
        <w:p w:rsidR="00EA509C" w:rsidRPr="00C753AC" w:rsidRDefault="00EA509C">
          <w:pPr>
            <w:rPr>
              <w:color w:val="040A72"/>
              <w:sz w:val="14"/>
            </w:rPr>
          </w:pPr>
        </w:p>
      </w:tc>
    </w:tr>
  </w:tbl>
  <w:p w:rsidR="00EA509C" w:rsidRDefault="00EA50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64" w:rsidRDefault="009071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28" w:rsidRDefault="003B0328">
      <w:r>
        <w:separator/>
      </w:r>
    </w:p>
  </w:footnote>
  <w:footnote w:type="continuationSeparator" w:id="0">
    <w:p w:rsidR="003B0328" w:rsidRDefault="003B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64" w:rsidRDefault="009071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9C" w:rsidRDefault="00C753AC">
    <w:pPr>
      <w:pStyle w:val="Kopfzeile"/>
    </w:pPr>
    <w:r w:rsidRPr="00C753AC">
      <w:rPr>
        <w:noProof/>
        <w:color w:val="040A72"/>
        <w:sz w:val="14"/>
      </w:rPr>
      <w:drawing>
        <wp:inline distT="0" distB="0" distL="0" distR="0" wp14:anchorId="0A5DE4FC" wp14:editId="4F265104">
          <wp:extent cx="5743575" cy="133571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715" cy="138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64" w:rsidRDefault="009071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28"/>
    <w:rsid w:val="002D7C42"/>
    <w:rsid w:val="003B0328"/>
    <w:rsid w:val="004120F5"/>
    <w:rsid w:val="00907164"/>
    <w:rsid w:val="00991411"/>
    <w:rsid w:val="009B00C7"/>
    <w:rsid w:val="00C3637F"/>
    <w:rsid w:val="00C5189D"/>
    <w:rsid w:val="00C753AC"/>
    <w:rsid w:val="00E70CA2"/>
    <w:rsid w:val="00EA509C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43B78"/>
  <w15:docId w15:val="{4A3AD02D-A360-4E90-9770-A0D76363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ontstyle01">
    <w:name w:val="fontstyle01"/>
    <w:basedOn w:val="Absatz-Standardschriftart"/>
    <w:rsid w:val="003B03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ge-Metall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gemein\Verwaltung\Vorlagen\Brief\Brief%20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Kopf.dotx</Template>
  <TotalTime>0</TotalTime>
  <Pages>4</Pages>
  <Words>1463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Hoogstede, 24</vt:lpstr>
    </vt:vector>
  </TitlesOfParts>
  <Company>Ange-Metall</Company>
  <LinksUpToDate>false</LinksUpToDate>
  <CharactersWithSpaces>11375</CharactersWithSpaces>
  <SharedDoc>false</SharedDoc>
  <HLinks>
    <vt:vector size="12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http://www.ange-metall.de/</vt:lpwstr>
      </vt:variant>
      <vt:variant>
        <vt:lpwstr/>
      </vt:variant>
      <vt:variant>
        <vt:i4>5177370</vt:i4>
      </vt:variant>
      <vt:variant>
        <vt:i4>-1</vt:i4>
      </vt:variant>
      <vt:variant>
        <vt:i4>2050</vt:i4>
      </vt:variant>
      <vt:variant>
        <vt:i4>1</vt:i4>
      </vt:variant>
      <vt:variant>
        <vt:lpwstr>T:\Werbung\Logo Brief.jpg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Hoogstede, 24</dc:title>
  <dc:creator>Marcel</dc:creator>
  <cp:lastModifiedBy>Marcel Wolbert</cp:lastModifiedBy>
  <cp:revision>1</cp:revision>
  <cp:lastPrinted>2024-10-23T06:38:00Z</cp:lastPrinted>
  <dcterms:created xsi:type="dcterms:W3CDTF">2024-10-23T06:43:00Z</dcterms:created>
  <dcterms:modified xsi:type="dcterms:W3CDTF">2024-10-23T06:59:00Z</dcterms:modified>
</cp:coreProperties>
</file>